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E" w:rsidRPr="00EA573A" w:rsidRDefault="00EA573A">
      <w:pPr>
        <w:rPr>
          <w:rFonts w:ascii="Arial" w:hAnsi="Arial" w:cs="Arial"/>
          <w:b/>
          <w:bCs/>
          <w:caps/>
          <w:sz w:val="27"/>
          <w:szCs w:val="27"/>
          <w:shd w:val="clear" w:color="auto" w:fill="FFFFFF"/>
        </w:rPr>
      </w:pPr>
      <w:r w:rsidRPr="00EA573A">
        <w:rPr>
          <w:rFonts w:ascii="Arial" w:hAnsi="Arial" w:cs="Arial"/>
          <w:b/>
          <w:bCs/>
          <w:caps/>
          <w:sz w:val="27"/>
          <w:szCs w:val="27"/>
          <w:shd w:val="clear" w:color="auto" w:fill="FFFFFF"/>
        </w:rPr>
        <w:t>ИНФОРМАЦИОННАЯ БРОШЮРА ПО ВОПРОСУ ПРИМЕНЕНИЯ САДОВОДЧЕСКИМИ, ОГОРОДНИЧЕСКИМИ ИЛИ ДАЧНЫМИ НЕКОММЕРЧЕСКИМИ ОБЪЕДИНЕНИЯМИ ГРАЖДАН ТАРИФОВ НА ЭЛЕКТРИЧЕСКУЮ ЭНЕРГИЮ ПРИ РАСПРЕДЕЛЕНИИ ПЛАТЫ МЕЖДУ ЧЛЕНАМИ ОБЩЕСТВА. (19.11.2015, Г.СУРГУТ, 200 ЭКЗ.)</w:t>
      </w:r>
    </w:p>
    <w:p w:rsidR="00EA573A" w:rsidRDefault="00EA573A">
      <w:pPr>
        <w:rPr>
          <w:rFonts w:ascii="Arial" w:hAnsi="Arial" w:cs="Arial"/>
          <w:b/>
          <w:bCs/>
          <w:caps/>
          <w:color w:val="0B963F"/>
          <w:sz w:val="27"/>
          <w:szCs w:val="27"/>
          <w:shd w:val="clear" w:color="auto" w:fill="FFFFFF"/>
        </w:rPr>
      </w:pPr>
    </w:p>
    <w:p w:rsidR="00EA573A" w:rsidRDefault="00EA573A">
      <w:pPr>
        <w:rPr>
          <w:rFonts w:ascii="Arial" w:hAnsi="Arial" w:cs="Arial"/>
          <w:b/>
          <w:bCs/>
          <w:caps/>
          <w:color w:val="0B963F"/>
          <w:sz w:val="27"/>
          <w:szCs w:val="27"/>
          <w:shd w:val="clear" w:color="auto" w:fill="FFFFFF"/>
        </w:rPr>
      </w:pPr>
    </w:p>
    <w:tbl>
      <w:tblPr>
        <w:tblW w:w="133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8"/>
      </w:tblGrid>
      <w:tr w:rsidR="00EA573A" w:rsidRPr="00EA573A" w:rsidTr="00EA573A">
        <w:trPr>
          <w:tblCellSpacing w:w="0" w:type="dxa"/>
        </w:trPr>
        <w:tc>
          <w:tcPr>
            <w:tcW w:w="8473" w:type="dxa"/>
            <w:shd w:val="clear" w:color="auto" w:fill="FFFFFF"/>
            <w:vAlign w:val="center"/>
            <w:hideMark/>
          </w:tcPr>
          <w:p w:rsidR="00EA573A" w:rsidRPr="00EA573A" w:rsidRDefault="00EA573A" w:rsidP="00EA57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573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Согласно статье 23.1 Федерального закона от 26.03.2003 № 35-ФЗ «Об электроэнергетике» (далее – Федеральный закон № 35-ФЗ) органы исполнительной власти субъектов Российской Федерации в области государственного регулирования тарифов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потребителей.</w:t>
            </w:r>
          </w:p>
          <w:p w:rsidR="00EA573A" w:rsidRPr="00EA573A" w:rsidRDefault="00EA573A" w:rsidP="00EA57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A573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Приложением №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№ 1178 «О ценообразовании в области регулируемых цен (тарифов) в электроэнергетике» (далее – Приложение № 1 Постановления № 1178), 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определен перечень категорий потребителей, которые приравнены к населению</w:t>
            </w:r>
            <w:proofErr w:type="gramEnd"/>
            <w:r w:rsidRPr="00EA573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которым электрическая энергия (мощность) поставляется по регулируемым ценам (тарифам).</w:t>
            </w:r>
          </w:p>
          <w:p w:rsidR="00EA573A" w:rsidRPr="00EA573A" w:rsidRDefault="00EA573A" w:rsidP="00EA57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573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Согласно пункту 2 Приложения № 1 Постановления № 1178, садоводческие, огороднические или дачные некоммерческие объединения граждан (далее – СНО) включены в перечень категорий потребителей, которым электрическая энергия (мощность) поставляется по регулируемым ценам (тарифам).</w:t>
            </w:r>
          </w:p>
        </w:tc>
      </w:tr>
    </w:tbl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Учитывая согласованную политику в сфере государственного регулирования, тарифы на электрическую энергию на территории Ханты-Мансийского автономного округа –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ценовой зоне оптового рынка, устанавливаются Региональной энергетической комиссией Тюменской области, Ханты-Мансийского автономного округа –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Ямало-Ненецкого автономного округа (далее – РЭК), в том числе для населения и приравненным к нему категориям потребителей.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Распоряжениями РЭК устанавливаются цены (тарифы) на электрическую энергию для населения и приравненным к нему категориям потребителей на территории Ханты-Мансийского автономного округа –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том числе для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  <w:proofErr w:type="gramEnd"/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об установленных тарифах на электрическую энергию для населения размещена на сайте РЭК (</w:t>
      </w:r>
      <w:hyperlink r:id="rId5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www.rectmn.ru</w:t>
        </w:r>
      </w:hyperlink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в разделе «Тарифы» (расположен в левой части главной страницы сайта), подразделе «Тарифы на электрическую энергию для населения», о </w:t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решении – в разделе «Решения РЭК», подразделе «Решения и распоряжения РЭК – 2014 год, 2015 год».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</w:t>
      </w: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гарантирующим поставщиком (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энергоснабжающей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организацией) заключен договор энергоснабжения с юридическим лицом – СНО, то размер платы за потребленную электрическую энергию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0360" cy="223520"/>
            <wp:effectExtent l="19050" t="0" r="2540" b="0"/>
            <wp:docPr id="1" name="Рисунок 1" descr="http://www.rst.admhmao.ru/wps/wcm/connect/58258a2e-fbe1-4b3b-ae2f-9c869ccae4cb/2/dbrjxtnq734358240025363451.png?MOD=AJPERES&amp;CACHEID=58258a2e-fbe1-4b3b-ae2f-9c869ccae4cb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t.admhmao.ru/wps/wcm/connect/58258a2e-fbe1-4b3b-ae2f-9c869ccae4cb/2/dbrjxtnq734358240025363451.png?MOD=AJPERES&amp;CACHEID=58258a2e-fbe1-4b3b-ae2f-9c869ccae4cb/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(далее – Плата) должен определяться исходя из показаний общего прибора учета электрической энергии, установленного на границе балансовой принадлежности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электросетевого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хозяйства СНО за соответствующий месяц по формуле: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71345" cy="318770"/>
            <wp:effectExtent l="19050" t="0" r="0" b="0"/>
            <wp:docPr id="2" name="Рисунок 2" descr="http://www.rst.admhmao.ru/wps/wcm/connect/58258a2e-fbe1-4b3b-ae2f-9c869ccae4cb/3/%D0%91%D0%B5%D0%B7%D1%8B%D0%BC%D1%8F%D0%BD%D0%BD%D1%8B%D0%B91.jpg?MOD=AJPERES&amp;CACHEID=58258a2e-fbe1-4b3b-ae2f-9c869ccae4cb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t.admhmao.ru/wps/wcm/connect/58258a2e-fbe1-4b3b-ae2f-9c869ccae4cb/3/%D0%91%D0%B5%D0%B7%D1%8B%D0%BC%D1%8F%D0%BD%D0%BD%D1%8B%D0%B91.jpg?MOD=AJPERES&amp;CACHEID=58258a2e-fbe1-4b3b-ae2f-9c869ccae4cb/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потребитель электрической энергии (Садовод);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соответствующий расчетный месяц;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8610" cy="223520"/>
            <wp:effectExtent l="19050" t="0" r="0" b="0"/>
            <wp:docPr id="3" name="Рисунок 3" descr="http://www.rst.admhmao.ru/wps/wcm/connect/58258a2e-fbe1-4b3b-ae2f-9c869ccae4cb/4/dpyjpngk3855221058605842100.png?MOD=AJPERES&amp;CACHEID=58258a2e-fbe1-4b3b-ae2f-9c869ccae4cb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st.admhmao.ru/wps/wcm/connect/58258a2e-fbe1-4b3b-ae2f-9c869ccae4cb/4/dpyjpngk3855221058605842100.png?MOD=AJPERES&amp;CACHEID=58258a2e-fbe1-4b3b-ae2f-9c869ccae4cb/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размер индивидуальной Платы, определяемой по формуле: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43710" cy="255270"/>
            <wp:effectExtent l="19050" t="0" r="8890" b="0"/>
            <wp:docPr id="4" name="Рисунок 4" descr="http://www.rst.admhmao.ru/wps/wcm/connect/58258a2e-fbe1-4b3b-ae2f-9c869ccae4cb/5/%D0%91%D0%B5%D0%B7%D1%8B%D0%BC%D1%8F%D0%BD%D0%BD%D1%8B%D0%B91.jpg?MOD=AJPERES&amp;CACHEID=58258a2e-fbe1-4b3b-ae2f-9c869ccae4cb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t.admhmao.ru/wps/wcm/connect/58258a2e-fbe1-4b3b-ae2f-9c869ccae4cb/5/%D0%91%D0%B5%D0%B7%D1%8B%D0%BC%D1%8F%D0%BD%D0%BD%D1%8B%D0%B91.jpg?MOD=AJPERES&amp;CACHEID=58258a2e-fbe1-4b3b-ae2f-9c869ccae4cb/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201930"/>
            <wp:effectExtent l="19050" t="0" r="0" b="0"/>
            <wp:docPr id="5" name="Рисунок 5" descr="http://www.rst.admhmao.ru/wps/wcm/connect/58258a2e-fbe1-4b3b-ae2f-9c869ccae4cb/6/pagenlny886730790831520282.png?MOD=AJPERES&amp;CACHEID=58258a2e-fbe1-4b3b-ae2f-9c869ccae4cb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st.admhmao.ru/wps/wcm/connect/58258a2e-fbe1-4b3b-ae2f-9c869ccae4cb/6/pagenlny886730790831520282.png?MOD=AJPERES&amp;CACHEID=58258a2e-fbe1-4b3b-ae2f-9c869ccae4cb/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тариф (цена) на электроэнергию, установленный решением РЭК в отношении садоводческих, огороднических или дачных некоммерческих объединений граждан;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8770" cy="223520"/>
            <wp:effectExtent l="19050" t="0" r="5080" b="0"/>
            <wp:docPr id="6" name="Рисунок 6" descr="http://www.rst.admhmao.ru/wps/wcm/connect/58258a2e-fbe1-4b3b-ae2f-9c869ccae4cb/7/pjmxxvfc7099535394712053313.png?MOD=AJPERES&amp;CACHEID=58258a2e-fbe1-4b3b-ae2f-9c869ccae4cb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st.admhmao.ru/wps/wcm/connect/58258a2e-fbe1-4b3b-ae2f-9c869ccae4cb/7/pjmxxvfc7099535394712053313.png?MOD=AJPERES&amp;CACHEID=58258a2e-fbe1-4b3b-ae2f-9c869ccae4cb/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объем потребленной электрической энергии на бытовые нужды на участке i-го Садовода за расчетный период, определенный по показаниям индивидуального прибора учета, а при его отсутствии из нормативов потребления.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отметить, что при начислении Платы членам СНО за используемую электрическую энергию по индивидуальным приборам учета (для личных нужд) должны применяться тарифы с учетом типа установленного прибора учета электроэнергии (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одноставочный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 или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одноставочный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тариф, дифференцированный по двум зонам суток или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одноставочный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тариф, дифференцированный по трем зонам суток), уровень которых соответствует тарифам, установленным решениями РЭК по группе «для садоводческих, огороднических или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дачных некоммерческих объединений граждан», с учетом типа установленного прибора учета электроэнергии.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7815" cy="223520"/>
            <wp:effectExtent l="19050" t="0" r="6985" b="0"/>
            <wp:docPr id="7" name="Рисунок 7" descr="http://www.rst.admhmao.ru/wps/wcm/connect/58258a2e-fbe1-4b3b-ae2f-9c869ccae4cb/8/pkzvxjyb3095823048652534866.png?MOD=AJPERES&amp;CACHEID=58258a2e-fbe1-4b3b-ae2f-9c869ccae4cb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st.admhmao.ru/wps/wcm/connect/58258a2e-fbe1-4b3b-ae2f-9c869ccae4cb/8/pkzvxjyb3095823048652534866.png?MOD=AJPERES&amp;CACHEID=58258a2e-fbe1-4b3b-ae2f-9c869ccae4cb/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размер дополнительной Платы, необходимый на покрытие дополнительных расходов, связанных с технологическими потерями в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электросетевом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хозяйстве, уличным освещением мест общего пользования, и другими нуждами Садоводов (с учетом использования более чем 1 Садоводом) рассчитывается по формуле: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90370" cy="276225"/>
            <wp:effectExtent l="19050" t="0" r="5080" b="0"/>
            <wp:docPr id="8" name="Рисунок 8" descr="http://www.rst.admhmao.ru/wps/wcm/connect/58258a2e-fbe1-4b3b-ae2f-9c869ccae4cb/9/%D0%91%D0%B5%D0%B7%D1%8B%D0%BC%D1%8F%D0%BD%D0%BD%D1%8B%D0%B91.jpg?MOD=AJPERES&amp;CACHEID=58258a2e-fbe1-4b3b-ae2f-9c869ccae4cb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st.admhmao.ru/wps/wcm/connect/58258a2e-fbe1-4b3b-ae2f-9c869ccae4cb/9/%D0%91%D0%B5%D0%B7%D1%8B%D0%BC%D1%8F%D0%BD%D0%BD%D1%8B%D0%B91.jpg?MOD=AJPERES&amp;CACHEID=58258a2e-fbe1-4b3b-ae2f-9c869ccae4cb/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где: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8770" cy="223520"/>
            <wp:effectExtent l="19050" t="0" r="5080" b="0"/>
            <wp:docPr id="9" name="Рисунок 9" descr="http://www.rst.admhmao.ru/wps/wcm/connect/58258a2e-fbe1-4b3b-ae2f-9c869ccae4cb/10/yflpuqjn6591545116440398363.png?MOD=AJPERES&amp;CACHEID=58258a2e-fbe1-4b3b-ae2f-9c869ccae4cb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st.admhmao.ru/wps/wcm/connect/58258a2e-fbe1-4b3b-ae2f-9c869ccae4cb/10/yflpuqjn6591545116440398363.png?MOD=AJPERES&amp;CACHEID=58258a2e-fbe1-4b3b-ae2f-9c869ccae4cb/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дополнительный объем электрической энергии, определяемый в случае, если объем электрической энергии, предъявленный к оплате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энергоснабжающей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организацией, по показаниям общего прибора учета превышает суммарный объем потребленной электрической энергии Садоводами за расчетный период, определенный по показаниям индивидуальных приборов учета или нормативу.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Дополнительный общий объем электроэнергии, подлежащий к распределению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i-му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Садоводу, по формуле: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73530" cy="255270"/>
            <wp:effectExtent l="19050" t="0" r="7620" b="0"/>
            <wp:docPr id="10" name="Рисунок 10" descr="http://www.rst.admhmao.ru/wps/wcm/connect/58258a2e-fbe1-4b3b-ae2f-9c869ccae4cb/11/%D0%91%D0%B5%D0%B7%D1%8B%D0%BC%D1%8F%D0%BD%D0%BD%D1%8B%D0%B91.jpg?MOD=AJPERES&amp;CACHEID=58258a2e-fbe1-4b3b-ae2f-9c869ccae4cb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st.admhmao.ru/wps/wcm/connect/58258a2e-fbe1-4b3b-ae2f-9c869ccae4cb/11/%D0%91%D0%B5%D0%B7%D1%8B%D0%BC%D1%8F%D0%BD%D0%BD%D1%8B%D0%B91.jpg?MOD=AJPERES&amp;CACHEID=58258a2e-fbe1-4b3b-ae2f-9c869ccae4cb/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где,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коэффициент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учитывающий принцип распределения дополнительного объема электроэнергии между Садоводами, который определяется Общим собранием членов СНО (собрание уполномоченных) на основании статьи 21 Федерального закона от 15.04.1998 № 66-ФЗ «О садоводческих, огороднических и дачных некоммерческих объединениях граждан»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этом в качестве принципов распределения дополнительного объема электроэнергии между </w:t>
      </w: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Садоводами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возможно рассмотреть следующие варианты:</w:t>
      </w:r>
    </w:p>
    <w:p w:rsidR="00EA573A" w:rsidRPr="00EA573A" w:rsidRDefault="00EA573A" w:rsidP="00E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пропорционально объему потребления электрической энергии на участке i-го Садовода;</w:t>
      </w:r>
    </w:p>
    <w:p w:rsidR="00EA573A" w:rsidRPr="00EA573A" w:rsidRDefault="00EA573A" w:rsidP="00E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пропорционально объему присоединенной мощности на участке i-го Садовода;</w:t>
      </w:r>
    </w:p>
    <w:p w:rsidR="00EA573A" w:rsidRPr="00EA573A" w:rsidRDefault="00EA573A" w:rsidP="00E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пропорционально площади земельного участка i-го Садовода;</w:t>
      </w:r>
    </w:p>
    <w:p w:rsidR="00EA573A" w:rsidRPr="00EA573A" w:rsidRDefault="00EA573A" w:rsidP="00E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другие.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2110" cy="223520"/>
            <wp:effectExtent l="19050" t="0" r="8890" b="0"/>
            <wp:docPr id="11" name="Рисунок 11" descr="http://www.rst.admhmao.ru/wps/wcm/connect/58258a2e-fbe1-4b3b-ae2f-9c869ccae4cb/12/ozeorpbf1001487303088980456.png?MOD=AJPERES&amp;CACHEID=58258a2e-fbe1-4b3b-ae2f-9c869ccae4cb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st.admhmao.ru/wps/wcm/connect/58258a2e-fbe1-4b3b-ae2f-9c869ccae4cb/12/ozeorpbf1001487303088980456.png?MOD=AJPERES&amp;CACHEID=58258a2e-fbe1-4b3b-ae2f-9c869ccae4cb/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дополнительный общий объем электроэнергии, подлежащий к распределению среди Садоводов, рассчитывается по формуле: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28035" cy="680720"/>
            <wp:effectExtent l="19050" t="0" r="5715" b="0"/>
            <wp:docPr id="12" name="Рисунок 12" descr="http://www.rst.admhmao.ru/wps/wcm/connect/58258a2e-fbe1-4b3b-ae2f-9c869ccae4cb/13/%D0%91%D0%B5%D0%B7%D1%8B%D0%BC%D1%8F%D0%BD%D0%BD%D1%8B%D0%B9.jpg?MOD=AJPERES&amp;CACHEID=58258a2e-fbe1-4b3b-ae2f-9c869ccae4cb/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st.admhmao.ru/wps/wcm/connect/58258a2e-fbe1-4b3b-ae2f-9c869ccae4cb/13/%D0%91%D0%B5%D0%B7%D1%8B%D0%BC%D1%8F%D0%BD%D0%BD%D1%8B%D0%B9.jpg?MOD=AJPERES&amp;CACHEID=58258a2e-fbe1-4b3b-ae2f-9c869ccae4cb/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где,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9565" cy="244475"/>
            <wp:effectExtent l="19050" t="0" r="0" b="0"/>
            <wp:docPr id="13" name="Рисунок 13" descr="http://www.rst.admhmao.ru/wps/wcm/connect/58258a2e-fbe1-4b3b-ae2f-9c869ccae4cb/14/woxjbdaj429740741297588909.png?MOD=AJPERES&amp;CACHEID=58258a2e-fbe1-4b3b-ae2f-9c869ccae4cb/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st.admhmao.ru/wps/wcm/connect/58258a2e-fbe1-4b3b-ae2f-9c869ccae4cb/14/woxjbdaj429740741297588909.png?MOD=AJPERES&amp;CACHEID=58258a2e-fbe1-4b3b-ae2f-9c869ccae4cb/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-- объем потребленной электрической энергии СНО за расчетный период, определенный по показаниям общего прибора учета;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2290" cy="318770"/>
            <wp:effectExtent l="19050" t="0" r="0" b="0"/>
            <wp:docPr id="14" name="Рисунок 14" descr="http://www.rst.admhmao.ru/wps/wcm/connect/58258a2e-fbe1-4b3b-ae2f-9c869ccae4cb/15/ewvalmdx3771462040184436882.png?MOD=AJPERES&amp;CACHEID=58258a2e-fbe1-4b3b-ae2f-9c869ccae4cb/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st.admhmao.ru/wps/wcm/connect/58258a2e-fbe1-4b3b-ae2f-9c869ccae4cb/15/ewvalmdx3771462040184436882.png?MOD=AJPERES&amp;CACHEID=58258a2e-fbe1-4b3b-ae2f-9c869ccae4cb/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суммарный объем потребленной электрической энергии Садоводами за расчетный период, определенный по показаниям индивидуальных приборов учета;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5790" cy="318770"/>
            <wp:effectExtent l="19050" t="0" r="3810" b="0"/>
            <wp:docPr id="15" name="Рисунок 15" descr="http://www.rst.admhmao.ru/wps/wcm/connect/58258a2e-fbe1-4b3b-ae2f-9c869ccae4cb/16/ujwxsjyv8158378273345439342.png?MOD=AJPERES&amp;CACHEID=58258a2e-fbe1-4b3b-ae2f-9c869ccae4cb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st.admhmao.ru/wps/wcm/connect/58258a2e-fbe1-4b3b-ae2f-9c869ccae4cb/16/ujwxsjyv8158378273345439342.png?MOD=AJPERES&amp;CACHEID=58258a2e-fbe1-4b3b-ae2f-9c869ccae4cb/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суммарный объем потребленной электрической энергии Садоводами за расчетный период, определенный по нормативу;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- количество садоводов, рассчитывающихся за потребленную электрическую энергию по приборам учета;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 - количество садоводов, рассчитывающихся за потребленную электрическую энергию по нормативам.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Федеральным законом № 66-ФЗ расходы СНО на содержание и обслуживание принадлежащих СНО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электросетевого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оборудования относятся к текущим расходам и должны оплачиваться за счет членских взносов Садоводов, размер которых устанавливается решением общего собрания членов СНО. В связи с чем, данные расходы не должны включать в расчет платы за потребленную электрическую энергию.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постановлением Правительства Российской Федерации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Федерации», постановлением Правительства Ханты-Мансийского автономного округа –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17.01.2014 № 14-п «О порядке организации и осуществления регионального государственного контроля (надзора) в области регулируемых государством цен (тарифов) на территории Ханты-Мансийского автономного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округа – </w:t>
      </w: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органы исполнительной власти в области государственного регулирования цен (тарифов) осуществляет региональный государственный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контроль (надзор) за соблюдением субъектами электроэнергетики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процессе осуществления деятельности требований, установленных Федеральным законом № 35-ФЗ, другими федеральными законами и иными нормативными правовыми актами Российской Федерации в сфере электроэнергетики, правильности применения указанными субъектами регулируемых государством цен (тарифов) в электроэнергетике.</w:t>
      </w:r>
      <w:proofErr w:type="gramEnd"/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ст. 3 Федерального закона № 35-ФЗ,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субъектами электроэнергетики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являются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мощности.</w:t>
      </w:r>
      <w:proofErr w:type="gramEnd"/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Садоводческие, огороднические или дачные некоммерческие объединения граждан не относятся к субъектам электроэнергетики, а подпадают под понятие потребители электрической энергии, под которыми понимаются лица, приобретающие электрическую энергию для собственных бытовых и (или) производственных нужд (ст. 3 Федерального закона № 35-ФЗ).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Рассмотрение споров между членами садоводческих, огороднических или дачных некоммерческих объединений граждан в соответствии с Обзором 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2010 - 2013 год, утвержденным 02.07.2014 Президиумом Верховного Суда Российской Федерации, отнесено к компетенции судов общей юрисдикции.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согласно статье 47 Гражданского процессуального кодекса Российской Федерации, для установления судом обстоятельств, имеющих значение, для рассмотрения и правильного разрешения гражданского дела, Садоводы вправе для предоставления соответствующего заключения привлечь орган исполнительной власти в области государственного регулирования цен (тарифов).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Контактная информация для консультаций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Региональная служба по тарифам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Ханты-Мансийского автономного округа </w:t>
      </w:r>
      <w:proofErr w:type="gramStart"/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–</w:t>
      </w:r>
      <w:proofErr w:type="spellStart"/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</w:t>
      </w:r>
      <w:proofErr w:type="gramEnd"/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гры</w:t>
      </w:r>
      <w:proofErr w:type="spellEnd"/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628007 г. Ханты-Мансийск, ул. Мира 104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Телефон/факс приемной (3467) 32-85-11 / 32-85-10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1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rst@admhmao.ru</w:t>
        </w:r>
      </w:hyperlink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2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http://www.rst.admhmao.ru/</w:t>
        </w:r>
      </w:hyperlink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Часы работы: понедельник с 09.00 до 18.00; вторник-пятница с 09.00 до 17.00;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Перерыв с 13.00 до 14.00; выходные дни – суббота и воскресенье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Начальник отдела регулирования и контроля тарифов в электроэнергетике и газовой сфере: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Втюрина</w:t>
      </w:r>
      <w:proofErr w:type="spell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Оксана Борисовна, тел. (3467) 32-86-20,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3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VtyurinaOB@admhmao.ru</w:t>
        </w:r>
      </w:hyperlink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эксперт отдела регулирования и контроля тарифов в электроэнергетике и газовой сфере: Горчакова Наталья Германовна, тел. (3467) 32-85-19,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4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GorchakovaNG@admhmao.ru</w:t>
        </w:r>
      </w:hyperlink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Региональная энергетическая комиссия Тюменской области,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Ханты-Мансийского автономного округа – </w:t>
      </w:r>
      <w:proofErr w:type="spellStart"/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Югры</w:t>
      </w:r>
      <w:proofErr w:type="spellEnd"/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Ямало-Ненецкого автономного округа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625000</w:t>
      </w:r>
      <w:r w:rsidRPr="00EA573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Тюмень, ул. 8 марта 1, 6 этаж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Рабочий тел/факс: (3452) 46-90-07, ф.46-90-08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Почтовый адрес: </w:t>
      </w:r>
      <w:proofErr w:type="gramStart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Тюмень, ул. Володарского, д.45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info@rectmn.ru</w:t>
        </w:r>
      </w:hyperlink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6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http://www.rectmn.ru/</w:t>
        </w:r>
      </w:hyperlink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Тарифы на электрическую энергию для населения:</w:t>
      </w:r>
      <w:r w:rsidRPr="00EA57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7" w:history="1">
        <w:r w:rsidRPr="00EA573A">
          <w:rPr>
            <w:rFonts w:ascii="Arial" w:eastAsia="Times New Roman" w:hAnsi="Arial" w:cs="Arial"/>
            <w:color w:val="008ACF"/>
            <w:sz w:val="27"/>
            <w:lang w:eastAsia="ru-RU"/>
          </w:rPr>
          <w:t>http://www.rectmn.ru/tariff_naselenie</w:t>
        </w:r>
      </w:hyperlink>
    </w:p>
    <w:p w:rsidR="00EA573A" w:rsidRPr="00EA573A" w:rsidRDefault="00EA573A" w:rsidP="00EA5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 А.А.Березовский</w:t>
      </w:r>
    </w:p>
    <w:p w:rsidR="00EA573A" w:rsidRPr="00EA573A" w:rsidRDefault="00EA573A" w:rsidP="00EA5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57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573A" w:rsidRDefault="00EA573A"/>
    <w:sectPr w:rsidR="00EA573A" w:rsidSect="0015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F75"/>
    <w:multiLevelType w:val="multilevel"/>
    <w:tmpl w:val="A61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/>
  <w:rsids>
    <w:rsidRoot w:val="00EA573A"/>
    <w:rsid w:val="00150484"/>
    <w:rsid w:val="007A300D"/>
    <w:rsid w:val="00D126DF"/>
    <w:rsid w:val="00EA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73A"/>
  </w:style>
  <w:style w:type="character" w:styleId="a5">
    <w:name w:val="Strong"/>
    <w:basedOn w:val="a0"/>
    <w:uiPriority w:val="22"/>
    <w:qFormat/>
    <w:rsid w:val="00EA5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://www.rectmn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st@admhmao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mailto:info@rectmn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GorchakovaNG@admhmao.ru" TargetMode="External"/><Relationship Id="rId5" Type="http://schemas.openxmlformats.org/officeDocument/2006/relationships/hyperlink" Target="http://www.rectmn.ru/" TargetMode="External"/><Relationship Id="rId15" Type="http://schemas.openxmlformats.org/officeDocument/2006/relationships/image" Target="media/image10.jpeg"/><Relationship Id="rId23" Type="http://schemas.openxmlformats.org/officeDocument/2006/relationships/hyperlink" Target="mailto:VtyurinaOB@admhmao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www.rst.admhmao.ru/" TargetMode="External"/><Relationship Id="rId27" Type="http://schemas.openxmlformats.org/officeDocument/2006/relationships/hyperlink" Target="http://www.rectmn.ru/tariff_na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 Соболев</dc:creator>
  <cp:keywords/>
  <dc:description/>
  <cp:lastModifiedBy>Виктор Владимирович Соболев</cp:lastModifiedBy>
  <cp:revision>1</cp:revision>
  <dcterms:created xsi:type="dcterms:W3CDTF">2016-04-18T07:03:00Z</dcterms:created>
  <dcterms:modified xsi:type="dcterms:W3CDTF">2016-04-18T07:13:00Z</dcterms:modified>
</cp:coreProperties>
</file>